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BayVersG (Bayern) — Zulassung von Versammlungen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Nicht verbotene Versammlungen unter freiem Himmel können innerhalb des befriedeten Bezirks zugelassen werden.</w:t>
      </w:r>
    </w:p>
    <w:p>
      <w:r>
        <w:t xml:space="preserve">(2) Anträge auf Zulassung von Versammlungen nach Abs. 1 sind spätestens sieben Tage vor der Bekanntgabe schriftlich, elektronisch oder zur Niederschrift beim Staatsministerium des Innern, für Sport und Integration einzureichen. Art. 13 Abs. 2 und 3 gelten entsprechend.</w:t>
      </w:r>
    </w:p>
    <w:p>
      <w:r>
        <w:t xml:space="preserve">(3) Über Anträge auf Zulassung entscheidet das Staatsministerium des Innern, für Sport und Integration im Einvernehmen mit dem Präsidenten des Landtags.</w:t>
      </w:r>
    </w:p>
    <w:p>
      <w:r>
        <w:t xml:space="preserve">(4) Durch die Zulassung werden die übrigen Vorschriften dieses Gesetzes, insbesondere Art. 13 bis 15, nicht berührt.</w:t>
      </w:r>
    </w:p>
    <w:p>
      <w:r>
        <w:rPr>
          <w:color w:val="555555"/>
          <w:sz w:val="17"/>
        </w:rPr>
        <w:t xml:space="preserve">Zitiervorschlag: Art 19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