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17 BayVersG (Bayern) — Befriedeter Bezirk</w:t>
      </w:r>
    </w:p>
    <w:p>
      <w:r>
        <w:rPr>
          <w:color w:val="555555"/>
          <w:sz w:val="18"/>
        </w:rPr>
        <w:t xml:space="preserve">Bayerisches Versammlungsgesetz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den Landtag des Freistaates Bayern wird ein befriedeter Bezirk gebildet. Der befriedete Bezirk um das Landtagsgebäude umfasst das nachfolgend umgrenzte Gebiet der Landeshauptstadt München: Max-Weber-Platz, Innere Wiener Straße, Wiener Platz, Innere Wiener Straße, Am Gasteig, Ludwigsbrücke, Westufer der Isar, Prinzregentenbrücke, südliches Rondell am Friedensengel, Prinzregentenstraße, Ismaninger Straße, Max-Weber-Platz. Die angeführten Straßen und Plätze sind nicht Teil des befriedeten Bezirks.</w:t>
      </w:r>
    </w:p>
    <w:p>
      <w:r>
        <w:rPr>
          <w:color w:val="555555"/>
          <w:sz w:val="17"/>
        </w:rPr>
        <w:t xml:space="preserve">Zitiervorschlag: Art 17 BayVersG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https://recht.nulegal.eu/gesetze/BayVersG/17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