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BayVermGeoLEV_4QE (Bayern) — Einstellungsvoraussetzungen</w:t>
      </w:r>
    </w:p>
    <w:p>
      <w:r>
        <w:rPr>
          <w:color w:val="555555"/>
          <w:sz w:val="18"/>
        </w:rPr>
        <w:t xml:space="preserve">Verordnung über den Einstieg in der vierten Qualifikationsebene in den fachlichen Schwerpunkten Vermessung und Geoinformation sowie Ländliche Entwicklung (Qualifikationsverordnung Vermessung und Ländliche Entwicklung 4. QE – VermGeoLEV/4. QE)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Vorbereitungsdienst kann eingestellt werden, wer</w:t>
      </w:r>
    </w:p>
    <w:p>
      <w:r>
        <w:t xml:space="preserve">1. einen Diplom- oder vergleichbaren Abschluss an einer wissenschaftlichen Hochschule in der Fachrichtung Vermessung/Geoinformatik erworben hat oder</w:t>
      </w:r>
    </w:p>
    <w:p>
      <w:r>
        <w:t xml:space="preserve">2. einen Master-Abschluss an einer Hochschule in einem Studiengang der Fachrichtung Vermessung/Geoinformatik erworben hat,</w:t>
      </w:r>
    </w:p>
    <w:p>
      <w:r>
        <w:t xml:space="preserve">3. das Auswahlverfahren (§ 3) erfolgreich durchlaufen hat und</w:t>
      </w:r>
    </w:p>
    <w:p>
      <w:r>
        <w:t xml:space="preserve">4. die sonstigen beamtenrechtlichen Voraussetzungen erfüllt.</w:t>
      </w:r>
    </w:p>
    <w:p>
      <w:r>
        <w:t xml:space="preserve">Für den Master-Abschluss werden ausschließlich inhaltlich aufeinander aufbauende Bachelor-, Diplom- und Masterstudiengänge mit einer Regelstudienzeit von zehn Fachsemestern anerkannt, die fundiertes Fachwissen im Bereich der Vermessung zu den Themenbereichen Vermessungswesen, Landmanagement, Liegenschaftskataster, Geoinformationssysteme, Satellitenpositionierung, Photogrammetrie und Fernerkundung vermitteln.</w:t>
      </w:r>
    </w:p>
    <w:p>
      <w:r>
        <w:t xml:space="preserve">(2) Angehörige anderer Verwaltungen können auf Antrag dieser Verwaltungen an der Ausbildung und Prüfung teilnehmen, soweit sie die Voraussetzungen des Abs. 1 Satz 1 Nr. 1 oder Nr. 2 und Satz 2 erfüllen.</w:t>
      </w:r>
    </w:p>
    <w:p>
      <w:r>
        <w:rPr>
          <w:color w:val="555555"/>
          <w:sz w:val="17"/>
        </w:rPr>
        <w:t xml:space="preserve">Zitiervorschlag: § 2 BayVermGeoLEV_4QE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https://recht.nulegal.eu/gesetze/BayVermGeoLEV_4QE/2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