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BayVerfOGErl (Bayern) — Ordensmatrikel</w:t>
      </w:r>
    </w:p>
    <w:p>
      <w:r>
        <w:rPr>
          <w:color w:val="555555"/>
          <w:sz w:val="18"/>
        </w:rPr>
        <w:t xml:space="preserve">Ordensstatut zum Gesetz über den „Bayerischen Verfassungsorden“ (BayVerfOG) Erlass über das Ordensstatut des „Bayerischen Verfassungsordens“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Vom Landtag wird über alle mit dem Orden Ausgezeichneten eine Ordensmatrikel geführt, die zusammen mit allen die Verleihung des Ordens betreffenden Urkunden und Unterlagen im Ordensarchiv aufbewahrt wird.</w:t>
      </w:r>
    </w:p>
    <w:p>
      <w:r>
        <w:t xml:space="preserve">(2) In der Ordensmatrikel sind die Ordensträgerinnen und -träger mit Namen und Anschrift unter Angabe des Tages der Verleihung eingetragen.</w:t>
      </w:r>
    </w:p>
    <w:p>
      <w:r>
        <w:rPr>
          <w:color w:val="555555"/>
          <w:sz w:val="17"/>
        </w:rPr>
        <w:t xml:space="preserve">Zitiervorschlag: § 4 BayVerfOGErl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https://recht.nulegal.eu/gesetze/BayVerfOGErl/4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