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BayVerfOGErl (Bayern) — Aushändigung</w:t>
      </w:r>
    </w:p>
    <w:p>
      <w:r>
        <w:rPr>
          <w:color w:val="555555"/>
          <w:sz w:val="18"/>
        </w:rPr>
        <w:t xml:space="preserve">Ordensstatut zum Gesetz über den „Bayerischen Verfassungsorden“ (BayVerfOG) Erlass über das Ordensstatut des „Bayerischen Verfassungsordens“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Orden wird nach näherer Anordnung der Präsidentin oder des Präsidenten des Landtags durch sie oder ihn ausgehändigt.</w:t>
      </w:r>
    </w:p>
    <w:p>
      <w:r>
        <w:rPr>
          <w:color w:val="555555"/>
          <w:sz w:val="17"/>
        </w:rPr>
        <w:t xml:space="preserve">Zitiervorschlag: § 3 BayVerfOGErl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https://recht.nulegal.eu/gesetze/BayVerfOGErl/3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