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Eingangsformel BayVerfOG (Bayern)</w:t>
      </w:r>
    </w:p>
    <w:p>
      <w:r>
        <w:rPr>
          <w:color w:val="555555"/>
          <w:sz w:val="18"/>
        </w:rPr>
        <w:t xml:space="preserve">Gesetz über den Bayerischen Verfassungsorden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Der Landtag des Freistaates Bayern hat das folgende Gesetz beschlossen, das hiermit bekannt gemacht wird:</w:t>
      </w:r>
    </w:p>
    <w:p>
      <w:r>
        <w:rPr>
          <w:color w:val="555555"/>
          <w:sz w:val="17"/>
        </w:rPr>
        <w:t xml:space="preserve">Zitiervorschlag: Eingangsformel BayVerfOG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https://recht.nulegal.eu/gesetze/BayVerfOG/eingangsformel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