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BayVerfOG (Bayern) — Inkrafttreten, Außerkrafttreten</w:t>
      </w:r>
    </w:p>
    <w:p>
      <w:r>
        <w:rPr>
          <w:color w:val="555555"/>
          <w:sz w:val="18"/>
        </w:rPr>
        <w:t xml:space="preserve">Gesetz über den Bayerischen Verfassungsorden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November 2021 in Kraft.</w:t>
      </w:r>
    </w:p>
    <w:p>
      <w:r>
        <w:t xml:space="preserve">(2) Mit Ablauf des 31. Oktober 2021 tritt das Gesetz über die Bayerische Verfassungsmedaille vom 20. Juli 2011 (GVBl. S. 302, BayRS 1132-5-S) außer Kraft.</w:t>
      </w:r>
    </w:p>
    <w:p>
      <w:r>
        <w:rPr>
          <w:color w:val="555555"/>
          <w:sz w:val="17"/>
        </w:rPr>
        <w:t xml:space="preserve">Zitiervorschlag: Art 8 BayVerfOG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