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BayVerfOG (Bayern) — Vorschlags- und Anregungsberechtigte</w:t>
      </w:r>
    </w:p>
    <w:p>
      <w:r>
        <w:rPr>
          <w:color w:val="555555"/>
          <w:sz w:val="18"/>
        </w:rPr>
        <w:t xml:space="preserve">Gesetz über den Bayerischen Verfassungsorden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Vorschlagsberechtigt sind die im Landtag vertretenen Fraktionen sowie jedes Mitglied des Landtags.</w:t>
      </w:r>
    </w:p>
    <w:p>
      <w:r>
        <w:t xml:space="preserve">(2) Das Initiativrecht der Präsidentin oder des Präsidenten des Landtags bleibt unberührt.</w:t>
      </w:r>
    </w:p>
    <w:p>
      <w:r>
        <w:t xml:space="preserve">(3) Anregungsberechtigt gegenüber den Vorschlagsberechtigten ist jedermann.</w:t>
      </w:r>
    </w:p>
    <w:p>
      <w:r>
        <w:rPr>
          <w:color w:val="555555"/>
          <w:sz w:val="17"/>
        </w:rPr>
        <w:t xml:space="preserve">Zitiervorschlag: Art 4 BayVerfOG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