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BayVerfOG (Bayern) — Verleihung</w:t>
      </w:r>
    </w:p>
    <w:p>
      <w:r>
        <w:rPr>
          <w:color w:val="555555"/>
          <w:sz w:val="18"/>
        </w:rPr>
        <w:t xml:space="preserve">Gesetz über den Bayerischen Verfassungsorden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Orden wird von der Präsidentin oder dem Präsidenten des Landtags verliehen. Es sollen jährlich nicht mehr als 50 Verleihungen vorgenommen werden.</w:t>
      </w:r>
    </w:p>
    <w:p>
      <w:r>
        <w:t xml:space="preserve">(2) Die Präsidentin oder der Präsident des Landtags erhält den Orden bei Amtsantritt.</w:t>
      </w:r>
    </w:p>
    <w:p>
      <w:r>
        <w:rPr>
          <w:color w:val="555555"/>
          <w:sz w:val="17"/>
        </w:rPr>
        <w:t xml:space="preserve">Zitiervorschlag: Art 3 BayVerfOG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https://recht.nulegal.eu/gesetze/BayVerfOG/3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