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Grundlagen des Beamtenverhältnisses werden durch Gesetz geregelt. Das Berufsbeamtentum wird grundsätzlich aufrechterhalten.</w:t>
      </w:r>
    </w:p>
    <w:p>
      <w:r>
        <w:t xml:space="preserve">(2) Den Beamten steht für die Verfolgung ihrer vermögensrechtlichen Ansprüche der ordentliche Rechtsweg offen.</w:t>
      </w:r>
    </w:p>
    <w:p>
      <w:r>
        <w:t xml:space="preserve">(3) Gegen jedes dienstliche Straferkenntnis muß der Beschwerdeweg und ein Wiederaufnahmeverfahren offenstehen.</w:t>
      </w:r>
    </w:p>
    <w:p>
      <w:r>
        <w:t xml:space="preserve">(4) In die Nachweise über die Person des Beamten dürfen ungünstige Tatsachen erst eingetragen werden, wenn der Beamte Gelegenheit gehabt hat, sich über sie zu äußern. Die Äußerung des Beamten ist in den Personalnachweis mitaufzunehmen.</w:t>
      </w:r>
    </w:p>
    <w:p>
      <w:r>
        <w:t xml:space="preserve">(5) Jeder Beamte hat das Recht, seine sämtlichen Personalnachweise jederzeit einzusehen.</w:t>
      </w:r>
    </w:p>
    <w:p>
      <w:r>
        <w:rPr>
          <w:color w:val="555555"/>
          <w:sz w:val="17"/>
        </w:rPr>
        <w:t xml:space="preserve">Zitiervorschlag: Art 95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