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91 BayVerf (Bayern)</w:t>
      </w:r>
    </w:p>
    <w:p>
      <w:r>
        <w:rPr>
          <w:color w:val="555555"/>
          <w:sz w:val="18"/>
        </w:rPr>
        <w:t xml:space="preserve">Verfassung des Freistaates Bayern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Vor Gericht hat jedermann Anspruch auf rechtliches Gehör.</w:t>
      </w:r>
    </w:p>
    <w:p>
      <w:r>
        <w:t xml:space="preserve">(2) Jeder wegen einer strafbaren Handlung Angeklagte kann sich eines Verteidigers bedienen.</w:t>
      </w:r>
    </w:p>
    <w:p>
      <w:r>
        <w:rPr>
          <w:color w:val="555555"/>
          <w:sz w:val="17"/>
        </w:rPr>
        <w:t xml:space="preserve">Zitiervorschlag: Art 91 BayVerf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https://recht.nulegal.eu/gesetze/BayVerf/91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