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Staatsgebiet gliedert sich in Kreise (Regierungsbezirke); die Abgrenzung erfolgt durch Gesetz.</w:t>
      </w:r>
    </w:p>
    <w:p>
      <w:r>
        <w:t xml:space="preserve">(2) Die Kreise sind in Bezirke eingeteilt; die kreisunmittelbaren Städte stehen den Bezirken gleich. Die Einteilung wird durch Rechtsverordnung der Staatsregierung bestimmt; hierzu ist die vorherige Genehmigung des Landtags einzuholen.</w:t>
      </w:r>
    </w:p>
    <w:p>
      <w:r>
        <w:rPr>
          <w:color w:val="555555"/>
          <w:sz w:val="17"/>
        </w:rPr>
        <w:t xml:space="preserve">Zitiervorschlag: Art 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