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Ausnahmegerichte sind unstatthaft. Niemand darf seinem gesetzlichen Richter entzogen werden.</w:t>
      </w:r>
    </w:p>
    <w:p>
      <w:r>
        <w:t xml:space="preserve">(2) Gerichte für besondere Sachgebiete sind nur kraft gesetzlicher Bestimmung zulässig.</w:t>
      </w:r>
    </w:p>
    <w:p>
      <w:r>
        <w:rPr>
          <w:color w:val="555555"/>
          <w:sz w:val="17"/>
        </w:rPr>
        <w:t xml:space="preserve">Zitiervorschlag: Art 86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https://recht.nulegal.eu/gesetze/BayVerf/86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