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eigenen Wirkungskreis der Gemeinden (Art. 11 Abs. 2) fallen insbesonders die Verwaltung des Gemeindevermögens und der Gemeindebetriebe; der örtliche Verkehr nebst Straßen- und Wegebau; die Versorgung der Bevölkerung mit Wasser, Licht, Gas und elektrischer Kraft; Einrichtungen zur Sicherung der Ernährung; Ortsplanung, Wohnungsbau und Wohnungsaufsicht; örtliche Polizei, Feuerschutz; örtliche Kulturpflege; Volks- und Berufsschulwesen und Erwachsenenbildung; Vormundschaftswesen und Wohlfahrtspflege; örtliches Gesundheitswesen; Ehe- und Mütterberatung sowie Säuglingspflege; Schulhygiene und körperliche Ertüchtigung der Jugend; öffentliche Bäder; Totenbestattung; Erhaltung ortsgeschichtlicher Denkmäler und Bauten.</w:t>
      </w:r>
    </w:p>
    <w:p>
      <w:r>
        <w:t xml:space="preserve">(2) Die Gemeinden sind verpflichtet, einen Haushaltsplan aufzustellen. Sie haben das Recht, ihren Bedarf durch öffentliche Abgaben zu decken. Der Staat gewährleistet den Gemeinden im Rahmen seiner finanziellen Leistungsfähigkeit eine angemessene Finanzausstattung.</w:t>
      </w:r>
    </w:p>
    <w:p>
      <w:r>
        <w:t xml:space="preserve">(3) Überträgt der Staat den Gemeinden Aufgaben, verpflichtet er sie zur Erfüllung von Aufgaben im eigenen Wirkungskreis oder stellt er besondere Anforderungen an die Erfüllung bestehender oder neuer Aufgaben, hat er gleichzeitig Bestimmungen über die Deckung der Kosten zu treffen. Führt die Wahrnehmung dieser Aufgaben zu einer Mehrbelastung der Gemeinden, ist ein entsprechender finanzieller Ausgleich zu schaffen.</w:t>
      </w:r>
    </w:p>
    <w:p>
      <w:r>
        <w:t xml:space="preserve">(4) Die Gemeinden unterstehen der Aufsicht der Staatsbehörden. In den Angelegenheiten des eigenen Wirkungskreises der Gemeinden wacht der Staat nur über die Erfüllung der gesetzlichen Pflichten und die Einhaltung der gesetzlichen Vorschriften durch die Gemeinden. In den Angelegenheiten des übertragenen Wirkungskreises sind die Gemeinden überdies an die Weisungen der übergeordneten Staatsbehörden gebunden. Der Staat schützt die Gemeinden bei Durchführung ihrer Aufgaben.</w:t>
      </w:r>
    </w:p>
    <w:p>
      <w:r>
        <w:t xml:space="preserve">(5) Verwaltungsstreitigkeiten zwischen den Gemeinden und dem Staate werden von den Verwaltungsgerichten entschieden.</w:t>
      </w:r>
    </w:p>
    <w:p>
      <w:r>
        <w:t xml:space="preserve">(6) Die Bestimmungen der Abs. 2 mit 5 gelten auch für die Gemeindeverbände.</w:t>
      </w:r>
    </w:p>
    <w:p>
      <w:r>
        <w:t xml:space="preserve">(7) Die kommunalen Spitzenverbände sollen rechtzeitig gehört werden, bevor durch Gesetz oder Rechtsverordnung Angelegenheiten geregelt werden, welche die Gemeinden oder die Gemeindeverbände berühren. Die Staatsregierung vereinbart zur Umsetzung des Konnexitätsprinzips (Abs. 3) ein Konsultationsverfahren mit den kommunalen Spitzenverbänden.</w:t>
      </w:r>
    </w:p>
    <w:p>
      <w:r>
        <w:rPr>
          <w:color w:val="555555"/>
          <w:sz w:val="17"/>
        </w:rPr>
        <w:t xml:space="preserve">Zitiervorschlag: Art 83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