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Einnahmen und Ausgaben des Staates müssen für jedes Jahr veranschlagt und in den Haushaltsplan eingestellt werden.</w:t>
      </w:r>
    </w:p>
    <w:p>
      <w:r>
        <w:t xml:space="preserve">(2) Ausgaben, die zur Deckung der Kosten bestehender bereits bewilligter Einrichtungen und zur Erfüllung rechtlicher Verpflichtungen des Staates erforderlich sind, müssen in den Haushaltsplan eingestellt werden.</w:t>
      </w:r>
    </w:p>
    <w:p>
      <w:r>
        <w:t xml:space="preserve">(3) Der Haushaltsplan wird vor Beginn des Rechnungsjahres durch Gesetz festgestellt.</w:t>
      </w:r>
    </w:p>
    <w:p>
      <w:r>
        <w:t xml:space="preserve">(4) Wird der Staatshaushalt im Landtag nicht rechtzeitig verabschiedet, so führt die Staatsregierung den Haushalt zunächst nach dem Haushaltsplan des Vorjahres weiter.</w:t>
      </w:r>
    </w:p>
    <w:p>
      <w:r>
        <w:t xml:space="preserve">(5) Beschlüsse des Landtags, welche die im Entwurf des Haushaltsplans eingesetzten Ausgaben erhöhen, sind auf Verlangen der Staatsregierung noch einmal zu beraten. Diese Beratung darf ohne Zustimmung der Staatsregierung nicht vor Ablauf von 14 Tagen stattfinden.</w:t>
      </w:r>
    </w:p>
    <w:p>
      <w:r>
        <w:t xml:space="preserve">(6) Die Ausgaben werden in der Regel für ein Jahr, in besonderen Fällen auch für eine längere Dauer bewilligt.</w:t>
      </w:r>
    </w:p>
    <w:p>
      <w:r>
        <w:rPr>
          <w:color w:val="555555"/>
          <w:sz w:val="17"/>
        </w:rPr>
        <w:t xml:space="preserve">Zitiervorschlag: Art 78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