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verfassungsmäßig zustandegekommenen Gesetze werden vom Ministerpräsidenten ausgefertigt und auf seine Anordnung binnen Wochenfrist im Bayerischen Gesetz- und Verordnungsblatt bekanntgemacht.</w:t>
      </w:r>
    </w:p>
    <w:p>
      <w:r>
        <w:t xml:space="preserve">(2) In jedem Gesetz muß der Tag bestimmt sein, an dem es in Kraft tritt.</w:t>
      </w:r>
    </w:p>
    <w:p>
      <w:r>
        <w:rPr>
          <w:color w:val="555555"/>
          <w:sz w:val="17"/>
        </w:rPr>
        <w:t xml:space="preserve">Zitiervorschlag: Art 76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https://recht.nulegal.eu/gesetze/BayVerf/76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