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Verfassung kann nur im Wege der Gesetzgebung geändert werden. Anträge auf Verfassungsänderungen, die den demokratischen Grundgedanken der Verfassung widersprechen, sind unzulässig.</w:t>
      </w:r>
    </w:p>
    <w:p>
      <w:r>
        <w:t xml:space="preserve">(2) Beschlüsse des Landtags auf Änderung der Verfassung bedürfen einer Zweidrittelmehrheit der Mitgliederzahl. Sie müssen dem Volk zur Entscheidung vorgelegt werden.</w:t>
      </w:r>
    </w:p>
    <w:p>
      <w:r>
        <w:t xml:space="preserve">(3) Meinungsverschiedenheiten darüber, ob durch ein Gesetz die Verfassung geändert wird oder ob ein Antrag auf unzulässige Verfassungsänderung vorliegt, entscheidet der Bayerische Verfassungsgerichtshof.</w:t>
      </w:r>
    </w:p>
    <w:p>
      <w:r>
        <w:t xml:space="preserve">(4) Änderungen der Verfassung sind im Text der Verfassung oder in einem Anhang aufzunehmen.</w:t>
      </w:r>
    </w:p>
    <w:p>
      <w:r>
        <w:rPr>
          <w:color w:val="555555"/>
          <w:sz w:val="17"/>
        </w:rPr>
        <w:t xml:space="preserve">Zitiervorschlag: Art 75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