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Gesetze werden vom Landtag oder vom Volk (Volksentscheid) beschlossen.</w:t>
      </w:r>
    </w:p>
    <w:p>
      <w:r>
        <w:t xml:space="preserve">(2) Staatsverträge werden vom Ministerpräsidenten nach vorheriger Zustimmung des Landtags abgeschlossen.</w:t>
      </w:r>
    </w:p>
    <w:p>
      <w:r>
        <w:rPr>
          <w:color w:val="555555"/>
          <w:sz w:val="17"/>
        </w:rPr>
        <w:t xml:space="preserve">Zitiervorschlag: Art 72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