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Staatsbürger ist ohne Unterschied der Geburt, der Rasse, des Geschlechts, des Glaubens und des Berufs jeder Staatsangehörige, der das 18. Lebensjahr vollendet hat.</w:t>
      </w:r>
    </w:p>
    <w:p>
      <w:r>
        <w:t xml:space="preserve">(2) Der Staatsbürger übt seine Rechte aus durch Teilnahme an Wahlen, Bürgerbegehren und Bürgerentscheiden sowie Volksbegehren und Volksentscheiden.</w:t>
      </w:r>
    </w:p>
    <w:p>
      <w:r>
        <w:t xml:space="preserve">(3) Die Ausübung dieser Rechte kann von der Dauer eines Aufenthalts bis zu einem Jahr abhängig gemacht werden.</w:t>
      </w:r>
    </w:p>
    <w:p>
      <w:r>
        <w:rPr>
          <w:color w:val="555555"/>
          <w:sz w:val="17"/>
        </w:rPr>
        <w:t xml:space="preserve">Zitiervorschlag: Art 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