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Staatsangehörigkeit wird erworben</w:t>
      </w:r>
    </w:p>
    <w:p>
      <w:r>
        <w:t xml:space="preserve">1. durch Geburt;</w:t>
      </w:r>
    </w:p>
    <w:p>
      <w:r>
        <w:t xml:space="preserve">2. durch Legitimation;</w:t>
      </w:r>
    </w:p>
    <w:p>
      <w:r>
        <w:t xml:space="preserve">3. durch Eheschließung;</w:t>
      </w:r>
    </w:p>
    <w:p>
      <w:r>
        <w:t xml:space="preserve">4. durch Einbürgerung.</w:t>
      </w:r>
    </w:p>
    <w:p>
      <w:r>
        <w:t xml:space="preserve">(2) Die Staatsangehörigkeit kann nicht aberkannt werden.</w:t>
      </w:r>
    </w:p>
    <w:p>
      <w:r>
        <w:t xml:space="preserve">(3) Das Nähere regelt ein Gesetz über die Staatsangehörigkeit.</w:t>
      </w:r>
    </w:p>
    <w:p>
      <w:r>
        <w:rPr>
          <w:color w:val="555555"/>
          <w:sz w:val="17"/>
        </w:rPr>
        <w:t xml:space="preserve">Zitiervorschlag: Art 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