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Geschäftsführung der Staatsregierung und der einzelnen Staatsministerien gelten folgende Grundsätze:</w:t>
      </w:r>
    </w:p>
    <w:p>
      <w:r>
        <w:t xml:space="preserve">1. Die Staatsverwaltung wird nach der Verfassung, den Gesetzen und dem Haushaltsplan geführt.</w:t>
      </w:r>
    </w:p>
    <w:p>
      <w:r>
        <w:t xml:space="preserve">2. Der Staatsregierung und den einzelnen Staatsministerien obliegt der Vollzug der Gesetze und Beschlüsse des Landtags. Zu diesem Zwecke können die erforderlichen Ausführungs- und Verwaltungsverordnungen von ihr erlassen werden. Rechtsverordnungen, die über den Rahmen einer Ausführungsverordnung hinausgehen, bedürfen besonderer gesetzlicher Ermächtigung.</w:t>
      </w:r>
    </w:p>
    <w:p>
      <w:r>
        <w:t xml:space="preserve">3. Die Staatsregierung beschließt über alle dem Landtag zu unterbreitenden Vorlagen. Die Unterrichtung des Landtags durch die Staatsregierung bleibt einer Vereinbarung zwischen Landtag und Staatsregierung auf gesetzlicher Grundlage vorbehalten.</w:t>
      </w:r>
    </w:p>
    <w:p>
      <w:r>
        <w:t xml:space="preserve">4. Die Staatsregierung ernennt die leitenden Beamten der Staatsministerien und die Vorstände der den Ministerien unmittelbar untergeordneten Behörden. Die übrigen Beamten werden durch die zuständigen Staatsminister oder durch die von ihnen beauftragten Behörden ernannt.</w:t>
      </w:r>
    </w:p>
    <w:p>
      <w:r>
        <w:t xml:space="preserve">5. Die gesamte Staatsverwaltung ist der Staatsregierung und den zuständigen Staatsministerien untergeordnet. Den Staatsministerien obliegt auch im Rahmen der Gesetze die Aufsicht über die Gemeinden und Gemeindeverbände sowie die sonstigen Körperschaften des öffentlichen Rechts und die öffentlich-rechtlichen Stiftungen.</w:t>
      </w:r>
    </w:p>
    <w:p>
      <w:r>
        <w:t xml:space="preserve">6. Jeder Staatsminister übt die Dienstaufsicht über die Behörden und Beamten seines Geschäftsbereichs aus.</w:t>
      </w:r>
    </w:p>
    <w:p>
      <w:r>
        <w:t xml:space="preserve">7. Jeder Staatsminister entscheidet über Verwaltungsbeschwerden im Rahmen seines Geschäftsbereichs.</w:t>
      </w:r>
    </w:p>
    <w:p>
      <w:r>
        <w:rPr>
          <w:color w:val="555555"/>
          <w:sz w:val="17"/>
        </w:rPr>
        <w:t xml:space="preserve">Zitiervorschlag: Art 55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