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51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Gemäß den vom Ministerpräsidenten bestimmten Richtlinien der Politik führt jeder Staatsminister seinen Geschäftsbereich selbständig und unter eigener Verantwortung gegenüber dem Landtag.</w:t>
      </w:r>
    </w:p>
    <w:p>
      <w:r>
        <w:t xml:space="preserve">(2) Die Staatssekretäre sind an die Weisungen des Staatsministers, dem sie zugewiesen sind, gebunden. Im Falle der Verhinderung des Staatsministers handeln sie selbständig und unter eigener Verantwortung gegenüber dem Landtag.</w:t>
      </w:r>
    </w:p>
    <w:p>
      <w:r>
        <w:rPr>
          <w:color w:val="555555"/>
          <w:sz w:val="17"/>
        </w:rPr>
        <w:t xml:space="preserve">Zitiervorschlag: Art 51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https://recht.nulegal.eu/gesetze/BayVerf/51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