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gesetzgebende Gewalt steht ausschließlich dem Volk und der Volksvertretung zu.</w:t>
      </w:r>
    </w:p>
    <w:p>
      <w:r>
        <w:t xml:space="preserve">(2) Die vollziehende Gewalt liegt in den Händen der Staatsregierung und der nachgeordneten Vollzugsbehörden.</w:t>
      </w:r>
    </w:p>
    <w:p>
      <w:r>
        <w:t xml:space="preserve">(3) Die richterliche Gewalt wird durch unabhängige Richter ausgeübt.</w:t>
      </w:r>
    </w:p>
    <w:p>
      <w:r>
        <w:rPr>
          <w:color w:val="555555"/>
          <w:sz w:val="17"/>
        </w:rPr>
        <w:t xml:space="preserve">Zitiervorschlag: Art 5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