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kann bei drohender Gefährdung der öffentlichen Sicherheit und Ordnung das Recht der öffentlichen freien Meinungsäußerung (Art. 110), die Pressefreiheit (Art. 111), das Brief-, Post-, Telegraphen- und Fernsprechgeheimnis (Art. 112) und die Versammlungsfreiheit (Art. 113) zunächst auf die Dauer einer Woche einschränken oder aufheben.</w:t>
      </w:r>
    </w:p>
    <w:p>
      <w:r>
        <w:t xml:space="preserve">(2) Sie hat gleichzeitig die Einberufung des Landtags zu veranlassen, ihn von allen getroffenen Maßnahmen unverzüglich zu verständigen und diese auf Verlangen des Landtags ganz oder teilweise aufzuheben. Bestätigt der Landtag mit der Mehrheit seiner gesetzlichen Mitgliederzahl die getroffenen Maßnahmen, so wird ihre Geltung um einen Monat verlängert.</w:t>
      </w:r>
    </w:p>
    <w:p>
      <w:r>
        <w:t xml:space="preserve">(3) Gegen die getroffenen Maßnahmen ist außerdem Beschwerde zum Bayerischen Verfassungsgerichtshof zulässig; dieser hat innerhalb einer Woche wenigstens eine vorläufige Entscheidung zu treffen.</w:t>
      </w:r>
    </w:p>
    <w:p>
      <w:r>
        <w:rPr>
          <w:color w:val="555555"/>
          <w:sz w:val="17"/>
        </w:rPr>
        <w:t xml:space="preserve">Zitiervorschlag: Art 48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