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Ministerpräsident führt in der Staatsregierung den Vorsitz und leitet ihre Geschäfte.</w:t>
      </w:r>
    </w:p>
    <w:p>
      <w:r>
        <w:t xml:space="preserve">(2) Er bestimmt die Richtlinien der Politik und trägt dafür die Verantwortung gegenüber dem Landtag.</w:t>
      </w:r>
    </w:p>
    <w:p>
      <w:r>
        <w:t xml:space="preserve">(3) Er vertritt Bayern nach außen.</w:t>
      </w:r>
    </w:p>
    <w:p>
      <w:r>
        <w:t xml:space="preserve">(4) Er übt in Einzelfällen das Begnadigungsrecht aus.</w:t>
      </w:r>
    </w:p>
    <w:p>
      <w:r>
        <w:t xml:space="preserve">(5) Er unterbreitet dem Landtag die Vorlagen der Staatsregierung.</w:t>
      </w:r>
    </w:p>
    <w:p>
      <w:r>
        <w:rPr>
          <w:color w:val="555555"/>
          <w:sz w:val="17"/>
        </w:rPr>
        <w:t xml:space="preserve">Zitiervorschlag: Art 47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