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Ministerpräsident wird von dem neu gewählten Landtag spätestens innerhalb einer Woche nach seinem Zusammentritt auf die Dauer von fünf Jahren gewählt.</w:t>
      </w:r>
    </w:p>
    <w:p>
      <w:r>
        <w:t xml:space="preserve">(2) Wählbar ist jeder wahlberechtigte Bayer, der das 40. Lebensjahr vollendet hat.</w:t>
      </w:r>
    </w:p>
    <w:p>
      <w:r>
        <w:t xml:space="preserve">(3) Der Ministerpräsident kann jederzeit von seinem Amt zurücktreten. Er muß zurücktreten, wenn die politischen Verhältnisse ein vertrauensvolles Zusammenarbeiten zwischen ihm und dem Landtag unmöglich machen. Der Rücktritt des Ministerpräsidenten hat den Rücktritt der Staatsregierung zur Folge. Bis zur Neuwahl eines Ministerpräsidenten geht die Vertretung Bayerns nach außen auf den Landtagspräsidenten über. Während dieser Zeit kann der Landtagspräsident vom Landtag nicht abberufen werden.</w:t>
      </w:r>
    </w:p>
    <w:p>
      <w:r>
        <w:t xml:space="preserve">(4) Bei Rücktritt oder Tod des Ministerpräsidenten während seiner Amtsdauer wird in der nächsten Sitzung des Landtags ein neuer Ministerpräsident für den Rest der laufenden Amtsdauer gewählt.</w:t>
      </w:r>
    </w:p>
    <w:p>
      <w:r>
        <w:t xml:space="preserve">(5) Kommt die Neuwahl innerhalb von vier Wochen nicht zustande, muß der Landtagspräsident den Landtag auflösen.</w:t>
      </w:r>
    </w:p>
    <w:p>
      <w:r>
        <w:rPr>
          <w:color w:val="555555"/>
          <w:sz w:val="17"/>
        </w:rPr>
        <w:t xml:space="preserve">Zitiervorschlag: Art 44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