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32 BayVerf (Bayern)</w:t>
      </w:r>
    </w:p>
    <w:p>
      <w:r>
        <w:rPr>
          <w:color w:val="555555"/>
          <w:sz w:val="18"/>
        </w:rPr>
        <w:t xml:space="preserve">Verfassung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Art. 27 mit 31 gelten für das Präsidium des Landtags sowie für die Mitglieder des Zwischenausschusses und ihre ersten Stellvertreter.</w:t>
      </w:r>
    </w:p>
    <w:p>
      <w:r>
        <w:t xml:space="preserve">(2) In den Fällen des Art. 28 wird die Mitwirkung des Landtags durch die Mitwirkung des Zwischenausschusses ersetzt.</w:t>
      </w:r>
    </w:p>
    <w:p>
      <w:r>
        <w:rPr>
          <w:color w:val="555555"/>
          <w:sz w:val="17"/>
        </w:rPr>
        <w:t xml:space="preserve">Zitiervorschlag: Art 32 BayVerf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https://recht.nulegal.eu/gesetze/BayVerf/32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