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Landtags sind berechtigt, über Personen, die ihnen in ihrer Eigenschaft als Abgeordnete Tatsachen anvertrauten oder denen sie in Ausübung ihres Abgeordnetenberufes Tatsachen anvertraut haben, sowie über diese Tatsachen selbst, das Zeugnis zu verweigern. Soweit dieses Zeugnisverweigerungsrecht reicht, ist die Beschlagnahme von Schriftstücken bei ihnen unzulässig.</w:t>
      </w:r>
    </w:p>
    <w:p>
      <w:r>
        <w:t xml:space="preserve">(2) Eine Untersuchung oder Beschlagnahme darf in den Räumen des Landtags nur mit Genehmigung des Präsidenten vorgenommen werden.</w:t>
      </w:r>
    </w:p>
    <w:p>
      <w:r>
        <w:rPr>
          <w:color w:val="555555"/>
          <w:sz w:val="17"/>
        </w:rPr>
        <w:t xml:space="preserve">Zitiervorschlag: Art 29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