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Kein Mitglied des Landtags kann ohne dessen Genehmigung während der Tagung wegen einer mit Strafe bedrohten Handlung zur Untersuchung gezogen oder verhaftet werden, es sei denn, daß es bei Ausübung der Tat oder spätestens im Laufe des folgenden Tages festgenommen worden ist.</w:t>
      </w:r>
    </w:p>
    <w:p>
      <w:r>
        <w:t xml:space="preserve">(2) Die gleiche Genehmigung ist erforderlich, wenn der Abgeordnete anderweitig in seiner persönlichen Freiheit beschränkt und dadurch in der Ausübung seines Abgeordnetenberufes beeinträchtigt wird.</w:t>
      </w:r>
    </w:p>
    <w:p>
      <w:r>
        <w:t xml:space="preserve">(3) Jedes Strafverfahren gegen ein Mitglied des Landtags und jede Haft oder sonstige Beschränkung seiner persönlichen Freiheit wird auf Verlangen des Landtags für die Dauer der Tagung aufgehoben. Ein solches Verlangen kann jedoch nicht gestellt werden, wenn der Abgeordnete eines unpolitischen Verbrechens bezichtigt wird. Ob dieser Fall vorliegt, entscheidet der Landtag.</w:t>
      </w:r>
    </w:p>
    <w:p>
      <w:r>
        <w:rPr>
          <w:color w:val="555555"/>
          <w:sz w:val="17"/>
        </w:rPr>
        <w:t xml:space="preserve">Zitiervorschlag: Art 28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