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und seine Ausschüsse können das Erscheinen des Ministerpräsidenten und jedes Staatsministers und Staatssekretärs verlangen.</w:t>
      </w:r>
    </w:p>
    <w:p>
      <w:r>
        <w:t xml:space="preserve">(2) Die Mitglieder der Staatsregierung und die von ihnen bestellten Beauftragten haben zu allen Sitzungen des Landtags und seiner Ausschüsse Zutritt. Sie müssen während der Beratung jederzeit, auch außerhalb der Tagesordnung, gehört werden.</w:t>
      </w:r>
    </w:p>
    <w:p>
      <w:r>
        <w:rPr>
          <w:color w:val="555555"/>
          <w:sz w:val="17"/>
        </w:rPr>
        <w:t xml:space="preserve">Zitiervorschlag: Art 24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