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beschließt mit einfacher Mehrheit der abgegebenen Stimmen, sofern die Verfassung kein anderes Stimmverhältnis vorschreibt.</w:t>
      </w:r>
    </w:p>
    <w:p>
      <w:r>
        <w:t xml:space="preserve">(2) Zur Beschlußfähigkeit des Landtags ist die Anwesenheit der Mehrheit seiner Mitglieder erforderlich.</w:t>
      </w:r>
    </w:p>
    <w:p>
      <w:r>
        <w:t xml:space="preserve">(3) Die in der Verfassung vorgesehenen Ausnahmen bleiben unberührt.</w:t>
      </w:r>
    </w:p>
    <w:p>
      <w:r>
        <w:rPr>
          <w:color w:val="555555"/>
          <w:sz w:val="17"/>
        </w:rPr>
        <w:t xml:space="preserve">Zitiervorschlag: Art 23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