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22 BayVerf (Bayern)</w:t>
      </w:r>
    </w:p>
    <w:p>
      <w:r>
        <w:rPr>
          <w:color w:val="555555"/>
          <w:sz w:val="18"/>
        </w:rPr>
        <w:t xml:space="preserve">Verfassung des Freistaates Bayern</w:t>
      </w:r>
    </w:p>
    <w:p>
      <w:r>
        <w:rPr>
          <w:color w:val="555555"/>
          <w:sz w:val="18"/>
        </w:rPr>
        <w:t xml:space="preserve">Landesrecht Bayern</w:t>
      </w:r>
    </w:p>
    <w:p>
      <w:r>
        <w:rPr>
          <w:color w:val="555555"/>
          <w:sz w:val="18"/>
        </w:rPr>
        <w:t xml:space="preserve">Stand: 25.08.2026 (konsolidierte Textfassung, kein amtliches Inkrafttretensdatum)</w:t>
      </w:r>
    </w:p>
    <w:p>
      <w:r>
        <w:t xml:space="preserve">(1) Der Landtag verhandelt öffentlich. Auf Antrag von 50 Mitgliedern oder der Staatsregierung kann mit Zweidrittelmehrheit der anwesenden Mitglieder die Öffentlichkeit für die Behandlung eines bestimmten Gegenstandes ausgeschlossen werden. Sie muß ausgeschlossen werden, wenn und solange es die Staatsregierung zur Begründung ihres Antrages auf Ausschluß der Öffentlichkeit verlangt. Der Landtag entscheidet darüber, ob und in welcher Art die Öffentlichkeit über solche Verhandlungen unterrichtet werden soll.</w:t>
      </w:r>
    </w:p>
    <w:p>
      <w:r>
        <w:t xml:space="preserve">(2) Wahrheitsgetreue Berichte über die Verhandlungen in den öffentlichen Sitzungen des Landtags oder seiner Ausschüsse bleiben von jeder Verantwortlichkeit frei, es sei denn, daß es sich um die Wiedergabe von Ehrverletzungen handelt.</w:t>
      </w:r>
    </w:p>
    <w:p>
      <w:r>
        <w:rPr>
          <w:color w:val="555555"/>
          <w:sz w:val="17"/>
        </w:rPr>
        <w:t xml:space="preserve">Zitiervorschlag: Art 22 BayVerf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https://recht.nulegal.eu/gesetze/BayVerf/22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