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Präsident übt das Hausrecht und die Polizeigewalt im Landtagsgebäude aus.</w:t>
      </w:r>
    </w:p>
    <w:p>
      <w:r>
        <w:t xml:space="preserve">(2) Er führt die Hausverwaltung, verfügt über die Einnahmen und Ausgaben des Hauses und vertritt den Staat in allen Rechtsgeschäften und Rechtsstreitigkeiten dieser Verwaltung.</w:t>
      </w:r>
    </w:p>
    <w:p>
      <w:r>
        <w:rPr>
          <w:color w:val="555555"/>
          <w:sz w:val="17"/>
        </w:rPr>
        <w:t xml:space="preserve">Zitiervorschlag: Art 21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