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Landtag wählt aus seiner Mitte ein Präsidium, bestehend aus einem Präsidenten, dessen Stellvertretern und den Schriftführern.</w:t>
      </w:r>
    </w:p>
    <w:p>
      <w:r>
        <w:t xml:space="preserve">(2) Zwischen zwei Tagungen führt das Präsidium die laufenden Geschäfte des Landtags fort.</w:t>
      </w:r>
    </w:p>
    <w:p>
      <w:r>
        <w:t xml:space="preserve">(3) Der Landtag gibt sich eine Geschäftsordnung.</w:t>
      </w:r>
    </w:p>
    <w:p>
      <w:r>
        <w:rPr>
          <w:color w:val="555555"/>
          <w:sz w:val="17"/>
        </w:rPr>
        <w:t xml:space="preserve">Zitiervorschlag: Art 20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