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Landtag kann sich vor Ablauf seiner Wahldauer durch Mehrheitsbeschluß seiner gesetzlichen Mitgliederzahl selbst auflösen.</w:t>
      </w:r>
    </w:p>
    <w:p>
      <w:r>
        <w:t xml:space="preserve">(2) Er kann im Falle des Art. 44 Abs. 5 vom Landtagspräsidenten aufgelöst werden.</w:t>
      </w:r>
    </w:p>
    <w:p>
      <w:r>
        <w:t xml:space="preserve">(3) Er kann auf Antrag von einer Million wahlberechtigter Staatsbürger durch Volksentscheid abberufen werden.</w:t>
      </w:r>
    </w:p>
    <w:p>
      <w:r>
        <w:t xml:space="preserve">(4) Die Neuwahl des Landtags findet spätestens am sechsten Sonntag nach der Auflösung oder Abberufung statt.</w:t>
      </w:r>
    </w:p>
    <w:p>
      <w:r>
        <w:rPr>
          <w:color w:val="555555"/>
          <w:sz w:val="17"/>
        </w:rPr>
        <w:t xml:space="preserve">Zitiervorschlag: Art 18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