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175 BayVerf (Bayern)</w:t>
      </w:r>
    </w:p>
    <w:p>
      <w:r>
        <w:rPr>
          <w:color w:val="555555"/>
          <w:sz w:val="18"/>
        </w:rPr>
        <w:t xml:space="preserve">Verfassung des Freistaates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Die Arbeitnehmer haben bei allen wirtschaftlichen Unternehmungen ein Mitbestimmungsrecht in den sie berührenden Angelegenheiten sowie in Unternehmungen von erheblicher Bedeutung einen unmittelbaren Einfluß auf die Leitung und die Verwaltung der Betriebe. Zu diesem Zweck bilden sie Betriebsräte nach Maßgabe eines besonderen Gesetzes. Dieses enthält auch Bestimmungen über die Mitwirkung der Betriebsräte bei Einstellung und Entlassung von Arbeitnehmern.</w:t>
      </w:r>
    </w:p>
    <w:p>
      <w:r>
        <w:rPr>
          <w:color w:val="555555"/>
          <w:sz w:val="17"/>
        </w:rPr>
        <w:t xml:space="preserve">Zitiervorschlag: Art 175 BayVerf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https://recht.nulegal.eu/gesetze/BayVerf/175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