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 170 BayVerf (Bayern)</w:t>
      </w:r>
    </w:p>
    <w:p>
      <w:r>
        <w:rPr>
          <w:color w:val="555555"/>
          <w:sz w:val="18"/>
        </w:rPr>
        <w:t xml:space="preserve">Verfassung des Freistaates Bayern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(1) Die Vereinigungsfreiheit zur Wahrung und Förderung der Arbeits- und Wirtschaftsbedingungen ist für jedermann und für alle Berufe gewährleistet.</w:t>
      </w:r>
    </w:p>
    <w:p>
      <w:r>
        <w:t xml:space="preserve">(2) Alle Abreden und Maßnahmen, welche die Vereinigungsfreiheit einschränken oder zu behindern suchen, sind rechtswidrig und nichtig.</w:t>
      </w:r>
    </w:p>
    <w:p>
      <w:r>
        <w:rPr>
          <w:color w:val="555555"/>
          <w:sz w:val="17"/>
        </w:rPr>
        <w:t xml:space="preserve">Zitiervorschlag: Art 170 BayVerf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https://recht.nulegal.eu/gesetze/BayVerf/170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