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Landtag tritt jedes Jahr im Herbst am Sitz der Staatsregierung zusammen.</w:t>
      </w:r>
    </w:p>
    <w:p>
      <w:r>
        <w:t xml:space="preserve">(2) Der Präsident kann ihn früher einberufen. Er muß ihn einberufen, wenn es die Staatsregierung oder mindestens ein Drittel der Landtagsmitglieder verlangt.</w:t>
      </w:r>
    </w:p>
    <w:p>
      <w:r>
        <w:t xml:space="preserve">(3) Der Landtag bestimmt den Schluß der Tagung und den Zeitpunkt des Wiederzusammentritts.</w:t>
      </w:r>
    </w:p>
    <w:p>
      <w:r>
        <w:rPr>
          <w:color w:val="555555"/>
          <w:sz w:val="17"/>
        </w:rPr>
        <w:t xml:space="preserve">Zitiervorschlag: Art 17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