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169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jeden Berufszweig können Mindestlöhne festgesetzt werden, die dem Arbeitnehmer eine den jeweiligen kulturellen Verhältnissen entsprechende Mindestlebenshaltung für sich und seine Familie ermöglichen.</w:t>
      </w:r>
    </w:p>
    <w:p>
      <w:r>
        <w:t xml:space="preserve">(2) Die Gesamtvereinbarungen zwischen Arbeitgeber- und Arbeitnehmerverbänden über das Arbeitsverhältnis sind für die Verbandsangehörigen verpflichtend und können, wenn es das Gesamtinteresse erfordert, für allgemein verbindlich erklärt werden.</w:t>
      </w:r>
    </w:p>
    <w:p>
      <w:r>
        <w:rPr>
          <w:color w:val="555555"/>
          <w:sz w:val="17"/>
        </w:rPr>
        <w:t xml:space="preserve">Zitiervorschlag: Art 169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https://recht.nulegal.eu/gesetze/BayVerf/169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