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ehrliche Arbeit hat den gleichen sittlichen Wert und Anspruch auf angemessenes Entgelt. Männer und Frauen erhalten für gleiche Arbeit den gleichen Lohn.</w:t>
      </w:r>
    </w:p>
    <w:p>
      <w:r>
        <w:t xml:space="preserve">(2) Arbeitsloses Einkommen arbeitsfähiger Personen wird nach Maßgabe der Gesetze mit Sondersteuern belegt.</w:t>
      </w:r>
    </w:p>
    <w:p>
      <w:r>
        <w:t xml:space="preserve">(3) Jeder Bewohner Bayerns, der arbeitsunfähig ist oder dem keine Arbeit vermittelt werden kann, hat ein Recht auf Fürsorge.</w:t>
      </w:r>
    </w:p>
    <w:p>
      <w:r>
        <w:rPr>
          <w:color w:val="555555"/>
          <w:sz w:val="17"/>
        </w:rPr>
        <w:t xml:space="preserve">Zitiervorschlag: Art 168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