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menschliche Arbeitskraft ist als wertvollstes wirtschaftliches Gut eines Volkes gegen Ausbeutung, Betriebsgefahren und sonstige gesundheitliche Schädigungen geschützt.</w:t>
      </w:r>
    </w:p>
    <w:p>
      <w:r>
        <w:t xml:space="preserve">(2) Ausbeutung, die gesundheitliche Schäden nach sich zieht, ist als Körperverletzung strafbar.</w:t>
      </w:r>
    </w:p>
    <w:p>
      <w:r>
        <w:t xml:space="preserve">(3) Die Verletzung von Bestimmungen zum Schutz gegen Gefahren und gesundheitliche Schädigungen in Betrieben wird bestraft.</w:t>
      </w:r>
    </w:p>
    <w:p>
      <w:r>
        <w:rPr>
          <w:color w:val="555555"/>
          <w:sz w:val="17"/>
        </w:rPr>
        <w:t xml:space="preserve">Zitiervorschlag: Art 167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