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landwirtschaftlichen Bevölkerung wird durch Anwendung des technischen Fortschritts auf ihren Lebensbereich, Verbesserung der Berufsausbildung, Pflege des landwirtschaftlichen Genossenschaftswesens und Förderung der Erzeugung und des Absatzes ein menschenwürdiges Auskommen auf der ererbten Heimatscholle gewährleistet.</w:t>
      </w:r>
    </w:p>
    <w:p>
      <w:r>
        <w:t xml:space="preserve">(2) Ein angemessenes landwirtschaftliches Einkommen wird durch eine den allgemeinen Wirtschaftsverhältnissen entsprechende Preis- und Lohngestaltung sowie durch Marktordnungen sichergestellt. Diesen werden Vereinbarungen zwischen den Organisationen der Erzeuger, Verteiler und Verbraucher zugrundegelegt.</w:t>
      </w:r>
    </w:p>
    <w:p>
      <w:r>
        <w:rPr>
          <w:color w:val="555555"/>
          <w:sz w:val="17"/>
        </w:rPr>
        <w:t xml:space="preserve">Zitiervorschlag: Art 164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