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163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Grund und Boden sind frei. Der Bauer ist nicht an die Scholle gebunden.</w:t>
      </w:r>
    </w:p>
    <w:p>
      <w:r>
        <w:t xml:space="preserve">(2) Der in der land- und forstwirtschaftlichen Kultur stehende Grund und Boden aller Besitzgrößen dient der Gesamtheit des Volkes.</w:t>
      </w:r>
    </w:p>
    <w:p>
      <w:r>
        <w:t xml:space="preserve">(3) Das bäuerliche Eigentum an Grund und Boden wird gewährleistet.</w:t>
      </w:r>
    </w:p>
    <w:p>
      <w:r>
        <w:t xml:space="preserve">(4) Bauernland soll seiner Zweckbestimmung nicht entfremdet werden. Der Erwerb von land- und forstwirtschaftlich genutztem Boden soll von einem Nachweis der Eignung für sachgemäße Bewirtschaftung abhängig gemacht werden; er darf nicht lediglich der Kapitalanlage dienen.</w:t>
      </w:r>
    </w:p>
    <w:p>
      <w:r>
        <w:t xml:space="preserve">(5) Enteignungen an land- und forstwirtschaftlichem Grund und Boden sind nur für dringende Zwecke des Gesamtwohls, insbesonders der Siedlung, gegen angemessene Entschädigung unter Schonung der Mustergüter und Beispielwirtschaften zulässig.</w:t>
      </w:r>
    </w:p>
    <w:p>
      <w:r>
        <w:rPr>
          <w:color w:val="555555"/>
          <w:sz w:val="17"/>
        </w:rPr>
        <w:t xml:space="preserve">Zitiervorschlag: Art 163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https://recht.nulegal.eu/gesetze/BayVerf/163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