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wird auf fünf Jahre gewählt. Seine Wahlperiode beginnt mit seinem ersten Zusammentritt und endet mit dem Zusammentritt eines neuen Landtags. Die Neuwahl findet frühestens 59 Monate, spätestens 62 Monate nach dem Tag statt, an dem der vorausgegangene Landtag gewählt worden ist.</w:t>
      </w:r>
    </w:p>
    <w:p>
      <w:r>
        <w:t xml:space="preserve">(2) Der Landtag tritt spätestens am 22. Tag nach der Wahl zusammen.</w:t>
      </w:r>
    </w:p>
    <w:p>
      <w:r>
        <w:rPr>
          <w:color w:val="555555"/>
          <w:sz w:val="17"/>
        </w:rPr>
        <w:t xml:space="preserve">Zitiervorschlag: Art 16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