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157 BayVerf (Bayern)</w:t>
      </w:r>
    </w:p>
    <w:p>
      <w:r>
        <w:rPr>
          <w:color w:val="555555"/>
          <w:sz w:val="18"/>
        </w:rPr>
        <w:t xml:space="preserve">Verfassung des Freistaates Bayern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(1) Kapitalbildung ist nicht Selbstzweck, sondern Mittel zur Entfaltung der Volkswirtschaft.</w:t>
      </w:r>
    </w:p>
    <w:p>
      <w:r>
        <w:t xml:space="preserve">(2) Das Geld- und Kreditwesen dient der Werteschaffung und der Befriedigung der Bedürfnisse aller Bewohner.</w:t>
      </w:r>
    </w:p>
    <w:p>
      <w:r>
        <w:rPr>
          <w:color w:val="555555"/>
          <w:sz w:val="17"/>
        </w:rPr>
        <w:t xml:space="preserve">Zitiervorschlag: Art 157 BayVerf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https://recht.nulegal.eu/gesetze/BayVerf/157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