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151 BayVerf (Bayern)</w:t>
      </w:r>
    </w:p>
    <w:p>
      <w:r>
        <w:rPr>
          <w:color w:val="555555"/>
          <w:sz w:val="18"/>
        </w:rPr>
        <w:t xml:space="preserve">Verfassung des Freistaates Bayern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gesamte wirtschaftliche Tätigkeit dient dem Gemeinwohl, insbesonders der Gewährleistung eines menschenwürdigen Daseins für alle und der allmählichen Erhöhung der Lebenshaltung aller Volksschichten.</w:t>
      </w:r>
    </w:p>
    <w:p>
      <w:r>
        <w:t xml:space="preserve">(2) Innerhalb dieser Zwecke gilt Vertragsfreiheit nach Maßgabe der Gesetze. Die Freiheit der Entwicklung persönlicher Entschlußkraft und die Freiheit der selbständigen Betätigung des einzelnen in der Wirtschaft wird grundsätzlich anerkannt. Die wirtschaftliche Freiheit des einzelnen findet ihre Grenze in der Rücksicht auf den Nächsten und auf die sittlichen Forderungen des Gemeinwohls. Gemeinschädliche und unsittliche Rechtsgeschäfte, insbesonders alle wirtschaftlichen Ausbeutungsverträge sind rechtswidrig und nichtig.</w:t>
      </w:r>
    </w:p>
    <w:p>
      <w:r>
        <w:rPr>
          <w:color w:val="555555"/>
          <w:sz w:val="17"/>
        </w:rPr>
        <w:t xml:space="preserve">Zitiervorschlag: Art 151 BayVerf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https://recht.nulegal.eu/gesetze/BayVerf/151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