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150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Kirchen haben das Recht, ihre Geistlichen auf eigenen kirchlichen Hochschulen auszubilden und fortzubilden.</w:t>
      </w:r>
    </w:p>
    <w:p>
      <w:r>
        <w:t xml:space="preserve">(2) Die theologischen Fakultäten an den Hochschulen bleiben erhalten.</w:t>
      </w:r>
    </w:p>
    <w:p>
      <w:r>
        <w:rPr>
          <w:color w:val="555555"/>
          <w:sz w:val="17"/>
        </w:rPr>
        <w:t xml:space="preserve">Zitiervorschlag: Art 150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https://recht.nulegal.eu/gesetze/BayVerf/150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