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Wählergruppen, deren Mitglieder oder Förderer darauf ausgehen, die staatsbürgerlichen Freiheiten zu unterdrücken oder gegen Volk, Staat oder Verfassung Gewalt anzuwenden, dürfen sich an Wahlen und Abstimmungen nicht beteiligen.</w:t>
      </w:r>
    </w:p>
    <w:p>
      <w:r>
        <w:t xml:space="preserve">(2) Die Entscheidung darüber, ob diese Voraussetzungen vorliegen, trifft auf Antrag der Staatsregierung oder einer der im Landtag vertretenen politischen Parteien der Bayerische Verfassungsgerichtshof.</w:t>
      </w:r>
    </w:p>
    <w:p>
      <w:r>
        <w:rPr>
          <w:color w:val="555555"/>
          <w:sz w:val="17"/>
        </w:rPr>
        <w:t xml:space="preserve">Zitiervorschlag: Art 15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