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149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Gemeinden haben dafür zu sorgen, daß jeder Verstorbene schicklich beerdigt werden kann. Über die Mitwirkung der Religionsgemeinschaften haben diese selbst zu bestimmen.</w:t>
      </w:r>
    </w:p>
    <w:p>
      <w:r>
        <w:t xml:space="preserve">(2) In Friedhöfen, die nur für einzelne Religionsgemeinschaften bestimmt sind, ist die Beisetzung Andersgläubiger unter den für sie üblichen Formen und ohne räumliche Absonderung zu gestatten, wenn ein anderer geeigneter Begräbnisplatz nicht vorhanden ist.</w:t>
      </w:r>
    </w:p>
    <w:p>
      <w:r>
        <w:t xml:space="preserve">(3) Im übrigen bemißt sich der Simultangebrauch der Kirchen und Friedhöfe nach bisherigem Recht, soweit nicht durch Gesetz Abänderungen getroffen werden.</w:t>
      </w:r>
    </w:p>
    <w:p>
      <w:r>
        <w:rPr>
          <w:color w:val="555555"/>
          <w:sz w:val="17"/>
        </w:rPr>
        <w:t xml:space="preserve">Zitiervorschlag: Art 149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