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145 BayVerf (Bayern)</w:t>
      </w:r>
    </w:p>
    <w:p>
      <w:r>
        <w:rPr>
          <w:color w:val="555555"/>
          <w:sz w:val="18"/>
        </w:rPr>
        <w:t xml:space="preserve">Verfassung des Freistaates Bayern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Die auf Gesetz, Vertrag oder anderen Rechtstiteln beruhenden bisherigen Leistungen des Staates oder der politischen Gemeinden an die Religionsgemeinschaften bleiben aufrechterhalten.</w:t>
      </w:r>
    </w:p>
    <w:p>
      <w:r>
        <w:t xml:space="preserve">(2) Neue freiwillige Leistungen des Staates, der politischen Gemeinden und Gemeindeverbände an eine Religionsgemeinschaft werden durch Zuschläge zu den Staatssteuern und Umlagen der Angehörigen dieser Religionsgemeinschaft aufgebracht.</w:t>
      </w:r>
    </w:p>
    <w:p>
      <w:r>
        <w:rPr>
          <w:color w:val="555555"/>
          <w:sz w:val="17"/>
        </w:rPr>
        <w:t xml:space="preserve">Zitiervorschlag: Art 145 BayVerf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https://recht.nulegal.eu/gesetze/BayVerf/145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